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26C2F">
      <w:pPr>
        <w:pStyle w:val="2"/>
      </w:pPr>
      <w:bookmarkStart w:id="0" w:name="_Toc92900509"/>
      <w:bookmarkStart w:id="1" w:name="_Toc99378740"/>
      <w:bookmarkStart w:id="2" w:name="_Toc92793314"/>
      <w:r>
        <w:t>GIÁM ĐỊNH TẬP THỂ</w:t>
      </w:r>
      <w:bookmarkEnd w:id="0"/>
      <w:bookmarkEnd w:id="1"/>
      <w:bookmarkEnd w:id="2"/>
    </w:p>
    <w:p w14:paraId="51EAD7A1">
      <w:pPr>
        <w:spacing w:before="120" w:after="120" w:line="400" w:lineRule="exact"/>
        <w:ind w:firstLine="720"/>
        <w:jc w:val="both"/>
        <w:rPr>
          <w:rFonts w:eastAsia="Calibri" w:cs="Times New Roman"/>
          <w:color w:val="000000"/>
          <w:szCs w:val="28"/>
        </w:rPr>
      </w:pPr>
      <w:r>
        <w:rPr>
          <w:rFonts w:eastAsia="Calibri" w:cs="Times New Roman"/>
          <w:color w:val="000000"/>
          <w:szCs w:val="28"/>
          <w:lang w:val="vi-VN"/>
        </w:rPr>
        <w:t xml:space="preserve">việc giám định do 02 người trở lên thực hiện. </w:t>
      </w:r>
      <w:r>
        <w:rPr>
          <w:rFonts w:eastAsia="Calibri" w:cs="Times New Roman"/>
          <w:color w:val="000000"/>
          <w:szCs w:val="28"/>
        </w:rPr>
        <w:t>GĐTT được quy định tại Điều 28 của Luật Giám định tư pháp 2020.</w:t>
      </w:r>
    </w:p>
    <w:p w14:paraId="4D729686">
      <w:pPr>
        <w:spacing w:before="120" w:after="120" w:line="400" w:lineRule="exact"/>
        <w:ind w:firstLine="720"/>
        <w:jc w:val="both"/>
        <w:rPr>
          <w:rFonts w:eastAsia="Times New Roman" w:cs="Times New Roman"/>
          <w:color w:val="000000"/>
          <w:szCs w:val="28"/>
        </w:rPr>
      </w:pPr>
      <w:r>
        <w:rPr>
          <w:rFonts w:eastAsia="Times New Roman" w:cs="Times New Roman"/>
          <w:szCs w:val="28"/>
        </w:rPr>
        <w:t>GĐTT là một hình thức giám định tư pháp x.</w:t>
      </w:r>
      <w:r>
        <w:rPr>
          <w:rFonts w:eastAsia="Times New Roman" w:cs="Times New Roman"/>
          <w:i/>
          <w:iCs/>
          <w:szCs w:val="28"/>
        </w:rPr>
        <w:t xml:space="preserve"> Giám định tư pháp</w:t>
      </w:r>
      <w:r>
        <w:rPr>
          <w:rFonts w:eastAsia="Times New Roman" w:cs="Times New Roman"/>
          <w:szCs w:val="28"/>
        </w:rPr>
        <w:t xml:space="preserve">. </w:t>
      </w:r>
      <w:r>
        <w:rPr>
          <w:rFonts w:eastAsia="Times New Roman" w:cs="Times New Roman"/>
          <w:color w:val="000000"/>
          <w:szCs w:val="28"/>
          <w:lang w:val="vi-VN"/>
        </w:rPr>
        <w:t>Trong trường hợp GĐTT về một lĩnh vực chuyên môn thì những người giám định cùng thực hiện việc giám định, ký v</w:t>
      </w:r>
      <w:r>
        <w:rPr>
          <w:rFonts w:eastAsia="Times New Roman" w:cs="Times New Roman"/>
          <w:color w:val="000000"/>
          <w:szCs w:val="28"/>
        </w:rPr>
        <w:t>à</w:t>
      </w:r>
      <w:r>
        <w:rPr>
          <w:rFonts w:eastAsia="Times New Roman" w:cs="Times New Roman"/>
          <w:color w:val="000000"/>
          <w:szCs w:val="28"/>
          <w:lang w:val="vi-VN"/>
        </w:rPr>
        <w:t>o bản kết luận giám định chung v</w:t>
      </w:r>
      <w:r>
        <w:rPr>
          <w:rFonts w:eastAsia="Times New Roman" w:cs="Times New Roman"/>
          <w:color w:val="000000"/>
          <w:szCs w:val="28"/>
        </w:rPr>
        <w:t xml:space="preserve">à </w:t>
      </w:r>
      <w:r>
        <w:rPr>
          <w:rFonts w:eastAsia="Times New Roman" w:cs="Times New Roman"/>
          <w:color w:val="000000"/>
          <w:szCs w:val="28"/>
          <w:lang w:val="vi-VN"/>
        </w:rPr>
        <w:t>cùng chịu trách nhiệm về k</w:t>
      </w:r>
      <w:r>
        <w:rPr>
          <w:rFonts w:eastAsia="Times New Roman" w:cs="Times New Roman"/>
          <w:color w:val="000000"/>
          <w:szCs w:val="28"/>
        </w:rPr>
        <w:t>ế</w:t>
      </w:r>
      <w:r>
        <w:rPr>
          <w:rFonts w:eastAsia="Times New Roman" w:cs="Times New Roman"/>
          <w:color w:val="000000"/>
          <w:szCs w:val="28"/>
          <w:lang w:val="vi-VN"/>
        </w:rPr>
        <w:t>t luận gi</w:t>
      </w:r>
      <w:r>
        <w:rPr>
          <w:rFonts w:eastAsia="Times New Roman" w:cs="Times New Roman"/>
          <w:color w:val="000000"/>
          <w:szCs w:val="28"/>
        </w:rPr>
        <w:t>á</w:t>
      </w:r>
      <w:r>
        <w:rPr>
          <w:rFonts w:eastAsia="Times New Roman" w:cs="Times New Roman"/>
          <w:color w:val="000000"/>
          <w:szCs w:val="28"/>
          <w:lang w:val="vi-VN"/>
        </w:rPr>
        <w:t>m định đó; nêu có ý kiến khác thì giám định viên ghi ý kiến của mình vào bản kết luận giám định và chịu trách nhiệm về ý kiến đó.</w:t>
      </w:r>
    </w:p>
    <w:p w14:paraId="2607D5E4">
      <w:pPr>
        <w:spacing w:before="120" w:after="120" w:line="400" w:lineRule="exact"/>
        <w:ind w:firstLine="720"/>
        <w:jc w:val="both"/>
        <w:rPr>
          <w:rFonts w:eastAsia="Calibri" w:cs="Times New Roman"/>
          <w:color w:val="000000"/>
          <w:spacing w:val="-4"/>
          <w:szCs w:val="28"/>
        </w:rPr>
      </w:pPr>
      <w:r>
        <w:rPr>
          <w:rFonts w:eastAsia="Calibri" w:cs="Times New Roman"/>
          <w:color w:val="000000"/>
          <w:spacing w:val="-4"/>
          <w:szCs w:val="28"/>
          <w:lang w:val="nl-NL"/>
        </w:rPr>
        <w:t>Trường hợp nội dung cần giám định liên quan đến nhiều lĩnh vực, thuộc trách nhiệm của nhiều tổ chức thì người trưng cầu giám định phải tách riêng từng nội dung để trưng cầu tổ chức có chuyên môn phù hợp thực hiện giám định.</w:t>
      </w:r>
    </w:p>
    <w:p w14:paraId="31A62923">
      <w:pPr>
        <w:spacing w:before="120" w:after="120" w:line="400" w:lineRule="exact"/>
        <w:ind w:firstLine="720"/>
        <w:jc w:val="both"/>
        <w:rPr>
          <w:rFonts w:eastAsia="Calibri" w:cs="Times New Roman"/>
          <w:color w:val="000000"/>
          <w:szCs w:val="28"/>
        </w:rPr>
      </w:pPr>
      <w:r>
        <w:rPr>
          <w:rFonts w:eastAsia="Calibri" w:cs="Times New Roman"/>
          <w:color w:val="000000"/>
          <w:szCs w:val="28"/>
          <w:lang w:val="nl-NL"/>
        </w:rPr>
        <w:t>Trường hợp các nội dung giám định liên quan đến nhiều lĩnh vực chuyên môn có quan hệ mật thiết với nhau, thuộc trách nhiệm của nhiều tổ chức mà việc tách riêng từng nội dung gây khó khăn cho việc thực hiện giám định, ảnh hưởng đến tính chính xác của kết quả giám định hoặc kéo dài thời gian giám định thì người trưng cầu giám định phải xác định được nội dung chính cần giám định để xác định tổ chức chủ trì và tổ chức phối hợp trong việc thực hiện giám định.</w:t>
      </w:r>
    </w:p>
    <w:p w14:paraId="1A16A587">
      <w:pPr>
        <w:spacing w:before="120" w:after="120" w:line="400" w:lineRule="exact"/>
        <w:ind w:firstLine="720"/>
        <w:jc w:val="both"/>
        <w:rPr>
          <w:rFonts w:eastAsia="Calibri" w:cs="Times New Roman"/>
          <w:color w:val="000000"/>
          <w:szCs w:val="28"/>
        </w:rPr>
      </w:pPr>
      <w:r>
        <w:rPr>
          <w:rFonts w:eastAsia="Calibri" w:cs="Times New Roman"/>
          <w:color w:val="000000"/>
          <w:szCs w:val="28"/>
          <w:lang w:val="nl-NL"/>
        </w:rPr>
        <w:t>Tổ chức chủ trì có trách nhiệm làm đầu mối tổ chức triển khai việc giám định chung và thực hiện giám định phần nội dung chuyên môn của mình.</w:t>
      </w:r>
    </w:p>
    <w:p w14:paraId="0BCA4576">
      <w:pPr>
        <w:spacing w:before="120" w:after="120" w:line="400" w:lineRule="exact"/>
        <w:ind w:firstLine="720"/>
        <w:jc w:val="both"/>
        <w:rPr>
          <w:rFonts w:eastAsia="Calibri" w:cs="Times New Roman"/>
          <w:color w:val="000000"/>
          <w:szCs w:val="28"/>
        </w:rPr>
      </w:pPr>
      <w:r>
        <w:rPr>
          <w:rFonts w:eastAsia="Calibri" w:cs="Times New Roman"/>
          <w:color w:val="000000"/>
          <w:szCs w:val="28"/>
          <w:lang w:val="nl-NL"/>
        </w:rPr>
        <w:t>Trong thời hạn 05 ngày làm việc, kể từ ngày nhận được quyết định trưng cầu giám định, tổ chức được trưng cầu giám định tư pháp phải có văn bản cử người giám định gửi người trưng cầu giám định; đối với tổ chức phối hợp thực hiện giám định thì còn phải gửi văn bản cử người giám định cho tổ chức chủ trì việc thực hiện giám định. Tổ chức chủ trì phải tổ chức ngay việc giám định sau khi nhận được văn bản cử người của tổ chức phối hợp thực hiện giám định. Trường hợp phát sinh vướng mắc trong việc trưng cầu, phối hợp thực hiện giám định, cơ quan có thẩm quyền tiến hành tố tụng, người có thẩm quyền tiến hành tố tụng chủ trì, phối hợp với tổ chức được trưng cầu để giải quyết.</w:t>
      </w:r>
    </w:p>
    <w:p w14:paraId="6B660C8C">
      <w:pPr>
        <w:spacing w:before="120" w:after="120" w:line="400" w:lineRule="exact"/>
        <w:ind w:firstLine="720"/>
        <w:jc w:val="both"/>
        <w:rPr>
          <w:rFonts w:eastAsia="Times New Roman" w:cs="Times New Roman"/>
          <w:szCs w:val="28"/>
          <w:lang w:val="vi-VN"/>
        </w:rPr>
      </w:pPr>
      <w:r>
        <w:rPr>
          <w:rFonts w:eastAsia="Times New Roman" w:cs="Times New Roman"/>
          <w:szCs w:val="28"/>
          <w:lang w:val="vi-VN"/>
        </w:rPr>
        <w:t>Trường hợp GĐTT</w:t>
      </w:r>
      <w:r>
        <w:rPr>
          <w:rFonts w:eastAsia="Times New Roman" w:cs="Times New Roman"/>
          <w:szCs w:val="28"/>
        </w:rPr>
        <w:t xml:space="preserve"> </w:t>
      </w:r>
      <w:r>
        <w:rPr>
          <w:rFonts w:eastAsia="Times New Roman" w:cs="Times New Roman"/>
          <w:szCs w:val="28"/>
          <w:lang w:val="vi-VN"/>
        </w:rPr>
        <w:t>thuộc nhiều lĩnh vực chuyên môn khác nhau thì m</w:t>
      </w:r>
      <w:r>
        <w:rPr>
          <w:rFonts w:eastAsia="Times New Roman" w:cs="Times New Roman"/>
          <w:szCs w:val="28"/>
        </w:rPr>
        <w:t>ọ</w:t>
      </w:r>
      <w:r>
        <w:rPr>
          <w:rFonts w:eastAsia="Times New Roman" w:cs="Times New Roman"/>
          <w:szCs w:val="28"/>
          <w:lang w:val="vi-VN"/>
        </w:rPr>
        <w:t>i người giám đ</w:t>
      </w:r>
      <w:r>
        <w:rPr>
          <w:rFonts w:eastAsia="Times New Roman" w:cs="Times New Roman"/>
          <w:szCs w:val="28"/>
        </w:rPr>
        <w:t>ị</w:t>
      </w:r>
      <w:r>
        <w:rPr>
          <w:rFonts w:eastAsia="Times New Roman" w:cs="Times New Roman"/>
          <w:szCs w:val="28"/>
          <w:lang w:val="vi-VN"/>
        </w:rPr>
        <w:t>nh thực hiện phần việc giám đ</w:t>
      </w:r>
      <w:r>
        <w:rPr>
          <w:rFonts w:eastAsia="Times New Roman" w:cs="Times New Roman"/>
          <w:szCs w:val="28"/>
        </w:rPr>
        <w:t>ị</w:t>
      </w:r>
      <w:r>
        <w:rPr>
          <w:rFonts w:eastAsia="Times New Roman" w:cs="Times New Roman"/>
          <w:szCs w:val="28"/>
          <w:lang w:val="vi-VN"/>
        </w:rPr>
        <w:t>nh thuộc lĩnh vực chuyên môn của mình và chịu trách nh</w:t>
      </w:r>
      <w:r>
        <w:rPr>
          <w:rFonts w:eastAsia="Times New Roman" w:cs="Times New Roman"/>
          <w:szCs w:val="28"/>
        </w:rPr>
        <w:t>i</w:t>
      </w:r>
      <w:r>
        <w:rPr>
          <w:rFonts w:eastAsia="Times New Roman" w:cs="Times New Roman"/>
          <w:szCs w:val="28"/>
          <w:lang w:val="vi-VN"/>
        </w:rPr>
        <w:t>ệm cá nhân về phần kết luận giám định đó.</w:t>
      </w:r>
    </w:p>
    <w:p w14:paraId="4AFE44AD">
      <w:pPr>
        <w:spacing w:before="120" w:after="120" w:line="400" w:lineRule="exact"/>
        <w:ind w:firstLine="720"/>
        <w:jc w:val="right"/>
        <w:rPr>
          <w:rFonts w:eastAsia="Times New Roman" w:cs="Times New Roman"/>
          <w:b/>
          <w:sz w:val="24"/>
          <w:szCs w:val="24"/>
          <w:lang w:val="vi-VN"/>
        </w:rPr>
      </w:pPr>
      <w:r>
        <w:rPr>
          <w:rFonts w:eastAsia="Times New Roman" w:cs="Times New Roman"/>
          <w:b/>
          <w:bCs/>
          <w:sz w:val="24"/>
          <w:szCs w:val="24"/>
        </w:rPr>
        <w:t>TRẦN ANH TUẤN</w:t>
      </w:r>
    </w:p>
    <w:p w14:paraId="40CF255C">
      <w:pPr>
        <w:pStyle w:val="3"/>
        <w:rPr>
          <w:lang w:val="vi-VN"/>
        </w:rPr>
      </w:pPr>
      <w:r>
        <w:rPr>
          <w:lang w:val="vi-VN"/>
        </w:rPr>
        <w:t>Tài liệu tham khảo</w:t>
      </w:r>
    </w:p>
    <w:p w14:paraId="0F47CDAF">
      <w:pPr>
        <w:numPr>
          <w:ilvl w:val="0"/>
          <w:numId w:val="1"/>
        </w:numPr>
        <w:tabs>
          <w:tab w:val="left" w:pos="993"/>
        </w:tabs>
        <w:spacing w:before="120" w:after="120" w:line="400" w:lineRule="exact"/>
        <w:ind w:left="0" w:firstLine="706"/>
        <w:jc w:val="both"/>
        <w:rPr>
          <w:rFonts w:eastAsia="Calibri" w:cs="Times New Roman"/>
          <w:sz w:val="24"/>
          <w:szCs w:val="24"/>
        </w:rPr>
      </w:pPr>
      <w:r>
        <w:rPr>
          <w:rFonts w:eastAsia="Calibri" w:cs="Times New Roman"/>
          <w:sz w:val="24"/>
          <w:szCs w:val="24"/>
        </w:rPr>
        <w:t xml:space="preserve">Chính phủ, </w:t>
      </w:r>
      <w:r>
        <w:rPr>
          <w:rFonts w:eastAsia="Calibri" w:cs="Times New Roman"/>
          <w:i/>
          <w:iCs/>
          <w:sz w:val="24"/>
          <w:szCs w:val="24"/>
        </w:rPr>
        <w:t>Nghị định quy định chi tiết và biện pháp thi hành luật giám định tư pháp 2021.</w:t>
      </w:r>
    </w:p>
    <w:p w14:paraId="3812FC02">
      <w:pPr>
        <w:numPr>
          <w:ilvl w:val="0"/>
          <w:numId w:val="1"/>
        </w:numPr>
        <w:tabs>
          <w:tab w:val="left" w:pos="993"/>
        </w:tabs>
        <w:spacing w:before="120" w:after="120" w:line="400" w:lineRule="exact"/>
        <w:ind w:left="0" w:firstLine="706"/>
        <w:jc w:val="both"/>
        <w:rPr>
          <w:rFonts w:eastAsia="Calibri" w:cs="Times New Roman"/>
          <w:i/>
          <w:sz w:val="24"/>
          <w:szCs w:val="24"/>
        </w:rPr>
      </w:pPr>
      <w:r>
        <w:rPr>
          <w:rFonts w:eastAsia="Calibri" w:cs="Times New Roman"/>
          <w:sz w:val="24"/>
          <w:szCs w:val="24"/>
        </w:rPr>
        <w:t xml:space="preserve">Quốc hội, </w:t>
      </w:r>
      <w:r>
        <w:rPr>
          <w:rFonts w:eastAsia="Calibri" w:cs="Times New Roman"/>
          <w:i/>
          <w:sz w:val="24"/>
          <w:szCs w:val="24"/>
        </w:rPr>
        <w:t>Bộ luật Tố tụng hình sự 2015.</w:t>
      </w:r>
    </w:p>
    <w:p w14:paraId="030EE42D">
      <w:pPr>
        <w:numPr>
          <w:ilvl w:val="0"/>
          <w:numId w:val="1"/>
        </w:numPr>
        <w:tabs>
          <w:tab w:val="left" w:pos="993"/>
        </w:tabs>
        <w:spacing w:before="120" w:after="120" w:line="400" w:lineRule="exact"/>
        <w:ind w:left="0" w:firstLine="706"/>
        <w:jc w:val="both"/>
        <w:rPr>
          <w:rFonts w:eastAsia="Calibri" w:cs="Times New Roman"/>
          <w:i/>
          <w:sz w:val="24"/>
          <w:szCs w:val="24"/>
        </w:rPr>
      </w:pPr>
      <w:r>
        <w:rPr>
          <w:rFonts w:eastAsia="Calibri" w:cs="Times New Roman"/>
          <w:sz w:val="24"/>
          <w:szCs w:val="24"/>
        </w:rPr>
        <w:t xml:space="preserve">Quốc hội, </w:t>
      </w:r>
      <w:r>
        <w:rPr>
          <w:rFonts w:eastAsia="Calibri" w:cs="Times New Roman"/>
          <w:i/>
          <w:sz w:val="24"/>
          <w:szCs w:val="24"/>
        </w:rPr>
        <w:t>Luật Giám định tư pháp 2020.</w:t>
      </w:r>
    </w:p>
    <w:p w14:paraId="75C9CAD6">
      <w:bookmarkStart w:id="3" w:name="_GoBack"/>
      <w:bookmarkEnd w:id="3"/>
    </w:p>
    <w:sectPr>
      <w:pgSz w:w="11909" w:h="16834"/>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 w:name="Times New Roman Bold">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16F41"/>
    <w:multiLevelType w:val="multilevel"/>
    <w:tmpl w:val="58916F41"/>
    <w:lvl w:ilvl="0" w:tentative="0">
      <w:start w:val="1"/>
      <w:numFmt w:val="decimal"/>
      <w:lvlText w:val="%1."/>
      <w:lvlJc w:val="left"/>
      <w:pPr>
        <w:ind w:left="1440" w:hanging="360"/>
      </w:pPr>
      <w:rPr>
        <w:i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0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71"/>
    <w:rsid w:val="00042ED5"/>
    <w:rsid w:val="00042F5E"/>
    <w:rsid w:val="000551A7"/>
    <w:rsid w:val="00115BDB"/>
    <w:rsid w:val="00137509"/>
    <w:rsid w:val="001C160D"/>
    <w:rsid w:val="001D1C53"/>
    <w:rsid w:val="00207A45"/>
    <w:rsid w:val="002166F8"/>
    <w:rsid w:val="00254911"/>
    <w:rsid w:val="002721BB"/>
    <w:rsid w:val="0029347D"/>
    <w:rsid w:val="002A5436"/>
    <w:rsid w:val="002B1994"/>
    <w:rsid w:val="002C35EB"/>
    <w:rsid w:val="002D47B5"/>
    <w:rsid w:val="00334805"/>
    <w:rsid w:val="0034637F"/>
    <w:rsid w:val="003501C5"/>
    <w:rsid w:val="00382B34"/>
    <w:rsid w:val="00391A96"/>
    <w:rsid w:val="003A39B8"/>
    <w:rsid w:val="003E063E"/>
    <w:rsid w:val="003F151E"/>
    <w:rsid w:val="00423E9D"/>
    <w:rsid w:val="00426F0B"/>
    <w:rsid w:val="00430C7D"/>
    <w:rsid w:val="0043145D"/>
    <w:rsid w:val="00467F1F"/>
    <w:rsid w:val="00473016"/>
    <w:rsid w:val="004762A5"/>
    <w:rsid w:val="004924BC"/>
    <w:rsid w:val="004B62E9"/>
    <w:rsid w:val="004B7822"/>
    <w:rsid w:val="004C4217"/>
    <w:rsid w:val="004E7AE8"/>
    <w:rsid w:val="004F0401"/>
    <w:rsid w:val="004F3443"/>
    <w:rsid w:val="005044EC"/>
    <w:rsid w:val="00523ADB"/>
    <w:rsid w:val="0053703D"/>
    <w:rsid w:val="005446D6"/>
    <w:rsid w:val="00563EA1"/>
    <w:rsid w:val="0057173E"/>
    <w:rsid w:val="005745C4"/>
    <w:rsid w:val="005B1CE5"/>
    <w:rsid w:val="005E6580"/>
    <w:rsid w:val="00621ADF"/>
    <w:rsid w:val="00636F62"/>
    <w:rsid w:val="00654A89"/>
    <w:rsid w:val="00654BFD"/>
    <w:rsid w:val="00685930"/>
    <w:rsid w:val="00687187"/>
    <w:rsid w:val="006A4839"/>
    <w:rsid w:val="006E4187"/>
    <w:rsid w:val="006F539F"/>
    <w:rsid w:val="006F7478"/>
    <w:rsid w:val="006F79A9"/>
    <w:rsid w:val="0070170A"/>
    <w:rsid w:val="00703147"/>
    <w:rsid w:val="007121D4"/>
    <w:rsid w:val="00716578"/>
    <w:rsid w:val="007247B2"/>
    <w:rsid w:val="0073226F"/>
    <w:rsid w:val="0074561D"/>
    <w:rsid w:val="007715D7"/>
    <w:rsid w:val="007818CD"/>
    <w:rsid w:val="00796E66"/>
    <w:rsid w:val="007979B2"/>
    <w:rsid w:val="00797A21"/>
    <w:rsid w:val="007C1023"/>
    <w:rsid w:val="007C2DC5"/>
    <w:rsid w:val="007D1A89"/>
    <w:rsid w:val="007D50D2"/>
    <w:rsid w:val="007E581D"/>
    <w:rsid w:val="007F4B57"/>
    <w:rsid w:val="00805569"/>
    <w:rsid w:val="00807B7E"/>
    <w:rsid w:val="0082170E"/>
    <w:rsid w:val="008A4C72"/>
    <w:rsid w:val="008E7932"/>
    <w:rsid w:val="008F583C"/>
    <w:rsid w:val="00922744"/>
    <w:rsid w:val="00937B64"/>
    <w:rsid w:val="009456B0"/>
    <w:rsid w:val="00952B83"/>
    <w:rsid w:val="009572AA"/>
    <w:rsid w:val="00963A53"/>
    <w:rsid w:val="009830B5"/>
    <w:rsid w:val="009A649C"/>
    <w:rsid w:val="009E035D"/>
    <w:rsid w:val="00A33688"/>
    <w:rsid w:val="00A50D73"/>
    <w:rsid w:val="00A52C33"/>
    <w:rsid w:val="00A56C2E"/>
    <w:rsid w:val="00A722FF"/>
    <w:rsid w:val="00A85B78"/>
    <w:rsid w:val="00AA2E16"/>
    <w:rsid w:val="00AC5191"/>
    <w:rsid w:val="00AE3BB9"/>
    <w:rsid w:val="00AE59E5"/>
    <w:rsid w:val="00AF7A16"/>
    <w:rsid w:val="00B030F1"/>
    <w:rsid w:val="00B03D84"/>
    <w:rsid w:val="00B21F93"/>
    <w:rsid w:val="00B25B4D"/>
    <w:rsid w:val="00B372F4"/>
    <w:rsid w:val="00B413F3"/>
    <w:rsid w:val="00B612D0"/>
    <w:rsid w:val="00B63016"/>
    <w:rsid w:val="00B7064F"/>
    <w:rsid w:val="00B91E7C"/>
    <w:rsid w:val="00B965E4"/>
    <w:rsid w:val="00C21694"/>
    <w:rsid w:val="00C21AB5"/>
    <w:rsid w:val="00C2467E"/>
    <w:rsid w:val="00C261AE"/>
    <w:rsid w:val="00C416EA"/>
    <w:rsid w:val="00C53CF2"/>
    <w:rsid w:val="00C7340C"/>
    <w:rsid w:val="00C73BEA"/>
    <w:rsid w:val="00CE57D4"/>
    <w:rsid w:val="00CF65F1"/>
    <w:rsid w:val="00D16868"/>
    <w:rsid w:val="00D2303F"/>
    <w:rsid w:val="00D45A55"/>
    <w:rsid w:val="00D503E0"/>
    <w:rsid w:val="00D658D8"/>
    <w:rsid w:val="00D72111"/>
    <w:rsid w:val="00D83DC4"/>
    <w:rsid w:val="00D955C4"/>
    <w:rsid w:val="00DA52C9"/>
    <w:rsid w:val="00DB3CF1"/>
    <w:rsid w:val="00DB56B5"/>
    <w:rsid w:val="00DE054D"/>
    <w:rsid w:val="00DE4FEA"/>
    <w:rsid w:val="00E02671"/>
    <w:rsid w:val="00E03462"/>
    <w:rsid w:val="00E078B8"/>
    <w:rsid w:val="00E234B9"/>
    <w:rsid w:val="00E5357F"/>
    <w:rsid w:val="00E665E3"/>
    <w:rsid w:val="00E67A19"/>
    <w:rsid w:val="00E8160A"/>
    <w:rsid w:val="00E83220"/>
    <w:rsid w:val="00E85B6A"/>
    <w:rsid w:val="00ED5C4D"/>
    <w:rsid w:val="00EE4380"/>
    <w:rsid w:val="00F004C4"/>
    <w:rsid w:val="00F13A38"/>
    <w:rsid w:val="00F7503D"/>
    <w:rsid w:val="00FB272C"/>
    <w:rsid w:val="00FB4403"/>
    <w:rsid w:val="00FB6166"/>
    <w:rsid w:val="00FC6956"/>
    <w:rsid w:val="00FF2DF1"/>
    <w:rsid w:val="02B8562E"/>
    <w:rsid w:val="05093A0E"/>
    <w:rsid w:val="0F96572F"/>
    <w:rsid w:val="16F60ABB"/>
    <w:rsid w:val="46BF5B9A"/>
    <w:rsid w:val="55033145"/>
    <w:rsid w:val="576003C8"/>
    <w:rsid w:val="60533013"/>
    <w:rsid w:val="6087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9"/>
    <w:pPr>
      <w:keepNext/>
      <w:keepLines/>
      <w:tabs>
        <w:tab w:val="left" w:pos="1260"/>
        <w:tab w:val="left" w:pos="4320"/>
      </w:tabs>
      <w:spacing w:before="600" w:after="120" w:line="400" w:lineRule="exact"/>
      <w:ind w:firstLine="709"/>
      <w:outlineLvl w:val="0"/>
    </w:pPr>
    <w:rPr>
      <w:rFonts w:eastAsia="Times New Roman" w:cstheme="majorBidi"/>
      <w:b/>
      <w:bCs/>
      <w:sz w:val="24"/>
      <w:szCs w:val="28"/>
    </w:rPr>
  </w:style>
  <w:style w:type="paragraph" w:styleId="3">
    <w:name w:val="heading 2"/>
    <w:basedOn w:val="1"/>
    <w:next w:val="1"/>
    <w:unhideWhenUsed/>
    <w:qFormat/>
    <w:uiPriority w:val="9"/>
    <w:pPr>
      <w:keepNext/>
      <w:keepLines/>
      <w:spacing w:before="120" w:after="120" w:line="400" w:lineRule="exact"/>
      <w:ind w:firstLine="720"/>
      <w:jc w:val="both"/>
      <w:outlineLvl w:val="1"/>
    </w:pPr>
    <w:rPr>
      <w:rFonts w:ascii="Times New Roman Bold" w:hAnsi="Times New Roman Bold" w:eastAsia="Calibri" w:cstheme="majorBidi"/>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table" w:styleId="6">
    <w:name w:val="Table Grid"/>
    <w:basedOn w:val="5"/>
    <w:qFormat/>
    <w:uiPriority w:val="59"/>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Phienbanmoi.com</Company>
  <Pages>2</Pages>
  <Words>1281</Words>
  <Characters>4592</Characters>
  <Lines>11</Lines>
  <Paragraphs>3</Paragraphs>
  <TotalTime>0</TotalTime>
  <ScaleCrop>false</ScaleCrop>
  <LinksUpToDate>false</LinksUpToDate>
  <CharactersWithSpaces>5859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2022-04-28T08:36:00Z</dcterms:created>
  <dc:creator>Windows User</dc:creator>
  <cp:lastModifiedBy>AD</cp:lastModifiedBy>
  <cp:lastPrinted>2026-05-26T08:00:00Z</cp:lastPrinted>
  <dcterms:modified xsi:type="dcterms:W3CDTF">2026-07-06T04:29:47Z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A1FBE5C48EF94B51A357ED09779C98BD_12</vt:lpwstr>
  </property>
</Properties>
</file>